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39ADD" w14:textId="77777777" w:rsidR="00FA0E09" w:rsidRPr="00CE555F" w:rsidRDefault="00FA0E09" w:rsidP="00FA0E09">
      <w:pPr>
        <w:spacing w:before="158" w:line="276" w:lineRule="auto"/>
        <w:ind w:left="198" w:right="221"/>
        <w:jc w:val="center"/>
        <w:outlineLvl w:val="1"/>
        <w:rPr>
          <w:rFonts w:eastAsia="Arial" w:cs="Arial"/>
          <w:b/>
          <w:bCs/>
          <w:color w:val="4F81BD" w:themeColor="accent1"/>
          <w:sz w:val="18"/>
          <w:szCs w:val="18"/>
        </w:rPr>
      </w:pPr>
      <w:r>
        <w:rPr>
          <w:rFonts w:eastAsia="Arial" w:cs="Arial"/>
          <w:b/>
          <w:bCs/>
          <w:color w:val="4F81BD" w:themeColor="accent1"/>
          <w:sz w:val="18"/>
          <w:szCs w:val="18"/>
        </w:rPr>
        <w:t xml:space="preserve">Avviso </w:t>
      </w:r>
      <w:proofErr w:type="spellStart"/>
      <w:r w:rsidRPr="00CE555F">
        <w:rPr>
          <w:rFonts w:eastAsia="Arial" w:cs="Arial"/>
          <w:b/>
          <w:bCs/>
          <w:color w:val="4F81BD" w:themeColor="accent1"/>
          <w:sz w:val="18"/>
          <w:szCs w:val="18"/>
        </w:rPr>
        <w:t>TuLiS</w:t>
      </w:r>
      <w:proofErr w:type="spellEnd"/>
      <w:r w:rsidRPr="00CE555F">
        <w:rPr>
          <w:rFonts w:eastAsia="Arial" w:cs="Arial"/>
          <w:b/>
          <w:bCs/>
          <w:color w:val="4F81BD" w:themeColor="accent1"/>
          <w:sz w:val="18"/>
          <w:szCs w:val="18"/>
        </w:rPr>
        <w:t xml:space="preserve"> </w:t>
      </w:r>
      <w:r>
        <w:rPr>
          <w:rFonts w:eastAsia="Arial" w:cs="Arial"/>
          <w:b/>
          <w:bCs/>
          <w:color w:val="4F81BD" w:themeColor="accent1"/>
          <w:sz w:val="18"/>
          <w:szCs w:val="18"/>
        </w:rPr>
        <w:t>-</w:t>
      </w:r>
      <w:r w:rsidRPr="00CE555F">
        <w:rPr>
          <w:rFonts w:eastAsia="Arial" w:cs="Arial"/>
          <w:b/>
          <w:bCs/>
          <w:color w:val="4F81BD" w:themeColor="accent1"/>
          <w:sz w:val="18"/>
          <w:szCs w:val="18"/>
        </w:rPr>
        <w:t>Tutela lingu</w:t>
      </w:r>
      <w:r>
        <w:rPr>
          <w:rFonts w:eastAsia="Arial" w:cs="Arial"/>
          <w:b/>
          <w:bCs/>
          <w:color w:val="4F81BD" w:themeColor="accent1"/>
          <w:sz w:val="18"/>
          <w:szCs w:val="18"/>
        </w:rPr>
        <w:t>a</w:t>
      </w:r>
      <w:r w:rsidRPr="00CE555F">
        <w:rPr>
          <w:rFonts w:eastAsia="Arial" w:cs="Arial"/>
          <w:b/>
          <w:bCs/>
          <w:color w:val="4F81BD" w:themeColor="accent1"/>
          <w:sz w:val="18"/>
          <w:szCs w:val="18"/>
        </w:rPr>
        <w:t xml:space="preserve"> Sard</w:t>
      </w:r>
      <w:r>
        <w:rPr>
          <w:rFonts w:eastAsia="Arial" w:cs="Arial"/>
          <w:b/>
          <w:bCs/>
          <w:color w:val="4F81BD" w:themeColor="accent1"/>
          <w:sz w:val="18"/>
          <w:szCs w:val="18"/>
        </w:rPr>
        <w:t>a</w:t>
      </w:r>
    </w:p>
    <w:p w14:paraId="5648B5E6" w14:textId="77777777" w:rsidR="00FA0E09" w:rsidRPr="00CE555F" w:rsidRDefault="00FA0E09" w:rsidP="00FA0E09">
      <w:pPr>
        <w:spacing w:before="158" w:line="276" w:lineRule="auto"/>
        <w:ind w:left="198" w:right="221"/>
        <w:jc w:val="center"/>
        <w:outlineLvl w:val="1"/>
        <w:rPr>
          <w:rFonts w:eastAsia="Arial" w:cs="Arial"/>
          <w:bCs/>
          <w:color w:val="4F81BD" w:themeColor="accent1"/>
          <w:sz w:val="18"/>
          <w:szCs w:val="18"/>
        </w:rPr>
      </w:pPr>
      <w:r w:rsidRPr="00CE555F">
        <w:rPr>
          <w:rFonts w:eastAsia="Arial" w:cs="Arial"/>
          <w:bCs/>
          <w:color w:val="4F81BD" w:themeColor="accent1"/>
          <w:sz w:val="18"/>
          <w:szCs w:val="18"/>
        </w:rPr>
        <w:t>L.482/99</w:t>
      </w:r>
      <w:r w:rsidRPr="00CE555F">
        <w:rPr>
          <w:rFonts w:eastAsia="Arial" w:cs="Arial"/>
          <w:bCs/>
          <w:color w:val="4F81BD" w:themeColor="accent1"/>
          <w:spacing w:val="-3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>artt.</w:t>
      </w:r>
      <w:r w:rsidRPr="00CE555F">
        <w:rPr>
          <w:rFonts w:eastAsia="Arial" w:cs="Arial"/>
          <w:bCs/>
          <w:color w:val="4F81BD" w:themeColor="accent1"/>
          <w:spacing w:val="-2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>9</w:t>
      </w:r>
      <w:r w:rsidRPr="00CE555F">
        <w:rPr>
          <w:rFonts w:eastAsia="Arial" w:cs="Arial"/>
          <w:bCs/>
          <w:color w:val="4F81BD" w:themeColor="accent1"/>
          <w:spacing w:val="-2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>e</w:t>
      </w:r>
      <w:r w:rsidRPr="00CE555F">
        <w:rPr>
          <w:rFonts w:eastAsia="Arial" w:cs="Arial"/>
          <w:bCs/>
          <w:color w:val="4F81BD" w:themeColor="accent1"/>
          <w:spacing w:val="-1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>15 “Norme in materia di tutela delle minoranze linguistiche</w:t>
      </w:r>
      <w:r w:rsidRPr="00CE555F">
        <w:rPr>
          <w:rFonts w:eastAsia="Arial" w:cs="Arial"/>
          <w:bCs/>
          <w:color w:val="4F81BD" w:themeColor="accent1"/>
          <w:spacing w:val="-1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 xml:space="preserve">storiche” </w:t>
      </w:r>
    </w:p>
    <w:p w14:paraId="3E771970" w14:textId="77777777" w:rsidR="00FA0E09" w:rsidRPr="00CE555F" w:rsidRDefault="00FA0E09" w:rsidP="00FA0E09">
      <w:pPr>
        <w:spacing w:before="158" w:line="276" w:lineRule="auto"/>
        <w:ind w:left="198" w:right="221"/>
        <w:jc w:val="center"/>
        <w:outlineLvl w:val="1"/>
        <w:rPr>
          <w:rFonts w:eastAsia="Arial" w:cs="Arial"/>
          <w:bCs/>
          <w:color w:val="4F81BD" w:themeColor="accent1"/>
          <w:sz w:val="18"/>
          <w:szCs w:val="18"/>
        </w:rPr>
      </w:pPr>
      <w:r w:rsidRPr="00CE555F">
        <w:rPr>
          <w:rFonts w:eastAsia="Arial" w:cs="Arial"/>
          <w:bCs/>
          <w:color w:val="4F81BD" w:themeColor="accent1"/>
          <w:sz w:val="18"/>
          <w:szCs w:val="18"/>
        </w:rPr>
        <w:t>LR22/2018</w:t>
      </w:r>
      <w:r w:rsidRPr="00CE555F">
        <w:rPr>
          <w:rFonts w:eastAsia="Arial" w:cs="Arial"/>
          <w:bCs/>
          <w:color w:val="4F81BD" w:themeColor="accent1"/>
          <w:spacing w:val="-1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>artt.</w:t>
      </w:r>
      <w:r w:rsidRPr="00CE555F">
        <w:rPr>
          <w:rFonts w:eastAsia="Arial" w:cs="Arial"/>
          <w:bCs/>
          <w:color w:val="4F81BD" w:themeColor="accent1"/>
          <w:spacing w:val="2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>10,</w:t>
      </w:r>
      <w:r w:rsidRPr="00CE555F">
        <w:rPr>
          <w:rFonts w:eastAsia="Arial" w:cs="Arial"/>
          <w:bCs/>
          <w:color w:val="4F81BD" w:themeColor="accent1"/>
          <w:spacing w:val="1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>commi</w:t>
      </w:r>
      <w:r w:rsidRPr="00CE555F">
        <w:rPr>
          <w:rFonts w:eastAsia="Arial" w:cs="Arial"/>
          <w:bCs/>
          <w:color w:val="4F81BD" w:themeColor="accent1"/>
          <w:spacing w:val="-1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>4</w:t>
      </w:r>
      <w:r w:rsidRPr="00CE555F">
        <w:rPr>
          <w:rFonts w:eastAsia="Arial" w:cs="Arial"/>
          <w:bCs/>
          <w:color w:val="4F81BD" w:themeColor="accent1"/>
          <w:spacing w:val="-1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>e</w:t>
      </w:r>
      <w:r w:rsidRPr="00CE555F">
        <w:rPr>
          <w:rFonts w:eastAsia="Arial" w:cs="Arial"/>
          <w:bCs/>
          <w:color w:val="4F81BD" w:themeColor="accent1"/>
          <w:spacing w:val="-3"/>
          <w:sz w:val="18"/>
          <w:szCs w:val="18"/>
        </w:rPr>
        <w:t xml:space="preserve"> </w:t>
      </w:r>
      <w:r w:rsidRPr="00CE555F">
        <w:rPr>
          <w:rFonts w:eastAsia="Arial" w:cs="Arial"/>
          <w:bCs/>
          <w:color w:val="4F81BD" w:themeColor="accent1"/>
          <w:sz w:val="18"/>
          <w:szCs w:val="18"/>
        </w:rPr>
        <w:t>5 “Disciplina della politica linguistica regionale.”</w:t>
      </w:r>
    </w:p>
    <w:p w14:paraId="7A17B234" w14:textId="2D095693" w:rsidR="00FA0E09" w:rsidRDefault="00FA0E09" w:rsidP="00FA0E09">
      <w:pPr>
        <w:spacing w:before="119"/>
        <w:ind w:left="198" w:right="218"/>
        <w:jc w:val="center"/>
        <w:rPr>
          <w:rFonts w:eastAsia="Arial MT" w:cs="Arial MT"/>
          <w:b/>
          <w:color w:val="4F81BD" w:themeColor="accent1"/>
          <w:sz w:val="18"/>
          <w:szCs w:val="18"/>
        </w:rPr>
      </w:pPr>
      <w:r w:rsidRPr="00CE555F">
        <w:rPr>
          <w:rFonts w:eastAsia="Arial MT" w:cs="Arial MT"/>
          <w:b/>
          <w:color w:val="4F81BD" w:themeColor="accent1"/>
          <w:sz w:val="18"/>
          <w:szCs w:val="18"/>
        </w:rPr>
        <w:t>Progetto</w:t>
      </w:r>
      <w:r w:rsidRPr="00CE555F">
        <w:rPr>
          <w:rFonts w:eastAsia="Arial MT" w:cs="Arial MT"/>
          <w:b/>
          <w:color w:val="4F81BD" w:themeColor="accent1"/>
          <w:spacing w:val="-5"/>
          <w:sz w:val="18"/>
          <w:szCs w:val="18"/>
        </w:rPr>
        <w:t xml:space="preserve"> </w:t>
      </w:r>
      <w:r w:rsidRPr="00CE555F">
        <w:rPr>
          <w:rFonts w:eastAsia="Arial MT" w:cs="Arial MT"/>
          <w:b/>
          <w:color w:val="4F81BD" w:themeColor="accent1"/>
          <w:sz w:val="18"/>
          <w:szCs w:val="18"/>
        </w:rPr>
        <w:t>“Prosecuzione sperimentazione linguistica Provincia del Medio Campidano”</w:t>
      </w:r>
    </w:p>
    <w:p w14:paraId="5A4B1D4B" w14:textId="77777777" w:rsidR="00FA0E09" w:rsidRPr="00CE555F" w:rsidRDefault="00FA0E09" w:rsidP="00FA0E09">
      <w:pPr>
        <w:spacing w:before="119"/>
        <w:ind w:left="198" w:right="218"/>
        <w:jc w:val="center"/>
        <w:rPr>
          <w:rFonts w:eastAsia="Arial MT" w:cs="Arial MT"/>
          <w:b/>
          <w:color w:val="4F81BD" w:themeColor="accent1"/>
          <w:sz w:val="18"/>
          <w:szCs w:val="18"/>
        </w:rPr>
      </w:pPr>
    </w:p>
    <w:p w14:paraId="7A1C70E5" w14:textId="0E36FBE4" w:rsidR="00FA0E09" w:rsidRDefault="00FA0E09" w:rsidP="00FA0E09">
      <w:pPr>
        <w:pStyle w:val="Titolo2"/>
        <w:spacing w:before="119"/>
        <w:ind w:left="628"/>
        <w:rPr>
          <w:rFonts w:ascii="Verdana" w:hAnsi="Verdana"/>
          <w:color w:val="4F81BD" w:themeColor="accent1"/>
          <w:sz w:val="20"/>
          <w:szCs w:val="20"/>
        </w:rPr>
      </w:pPr>
      <w:r>
        <w:rPr>
          <w:rFonts w:ascii="Verdana" w:hAnsi="Verdana"/>
          <w:color w:val="4F81BD" w:themeColor="accent1"/>
          <w:spacing w:val="-2"/>
          <w:sz w:val="20"/>
          <w:szCs w:val="20"/>
        </w:rPr>
        <w:t>INFORMATIVA</w:t>
      </w:r>
      <w:r>
        <w:rPr>
          <w:rFonts w:ascii="Verdana" w:hAnsi="Verdana"/>
          <w:color w:val="4F81BD" w:themeColor="accent1"/>
          <w:spacing w:val="-14"/>
          <w:sz w:val="20"/>
          <w:szCs w:val="20"/>
        </w:rPr>
        <w:t xml:space="preserve"> </w:t>
      </w:r>
      <w:r>
        <w:rPr>
          <w:rFonts w:ascii="Verdana" w:hAnsi="Verdana"/>
          <w:color w:val="4F81BD" w:themeColor="accent1"/>
          <w:spacing w:val="-2"/>
          <w:sz w:val="20"/>
          <w:szCs w:val="20"/>
        </w:rPr>
        <w:t>EFFETTUATA</w:t>
      </w:r>
      <w:r>
        <w:rPr>
          <w:rFonts w:ascii="Verdana" w:hAnsi="Verdana"/>
          <w:color w:val="4F81BD" w:themeColor="accent1"/>
          <w:spacing w:val="-9"/>
          <w:sz w:val="20"/>
          <w:szCs w:val="20"/>
        </w:rPr>
        <w:t xml:space="preserve"> </w:t>
      </w:r>
      <w:r>
        <w:rPr>
          <w:rFonts w:ascii="Verdana" w:hAnsi="Verdana"/>
          <w:color w:val="4F81BD" w:themeColor="accent1"/>
          <w:spacing w:val="-2"/>
          <w:sz w:val="20"/>
          <w:szCs w:val="20"/>
        </w:rPr>
        <w:t>AI</w:t>
      </w:r>
      <w:r>
        <w:rPr>
          <w:rFonts w:ascii="Verdana" w:hAnsi="Verdana"/>
          <w:color w:val="4F81BD" w:themeColor="accent1"/>
          <w:spacing w:val="-5"/>
          <w:sz w:val="20"/>
          <w:szCs w:val="20"/>
        </w:rPr>
        <w:t xml:space="preserve"> </w:t>
      </w:r>
      <w:r>
        <w:rPr>
          <w:rFonts w:ascii="Verdana" w:hAnsi="Verdana"/>
          <w:color w:val="4F81BD" w:themeColor="accent1"/>
          <w:spacing w:val="-2"/>
          <w:sz w:val="20"/>
          <w:szCs w:val="20"/>
        </w:rPr>
        <w:t>SENSI</w:t>
      </w:r>
      <w:r>
        <w:rPr>
          <w:rFonts w:ascii="Verdana" w:hAnsi="Verdana"/>
          <w:color w:val="4F81BD" w:themeColor="accent1"/>
          <w:spacing w:val="-7"/>
          <w:sz w:val="20"/>
          <w:szCs w:val="20"/>
        </w:rPr>
        <w:t xml:space="preserve"> </w:t>
      </w:r>
      <w:r>
        <w:rPr>
          <w:rFonts w:ascii="Verdana" w:hAnsi="Verdana"/>
          <w:color w:val="4F81BD" w:themeColor="accent1"/>
          <w:spacing w:val="-2"/>
          <w:sz w:val="20"/>
          <w:szCs w:val="20"/>
        </w:rPr>
        <w:t>DELL’ART.</w:t>
      </w:r>
      <w:r>
        <w:rPr>
          <w:rFonts w:ascii="Verdana" w:hAnsi="Verdana"/>
          <w:color w:val="4F81BD" w:themeColor="accent1"/>
          <w:spacing w:val="-6"/>
          <w:sz w:val="20"/>
          <w:szCs w:val="20"/>
        </w:rPr>
        <w:t xml:space="preserve"> </w:t>
      </w:r>
      <w:r>
        <w:rPr>
          <w:rFonts w:ascii="Verdana" w:hAnsi="Verdana"/>
          <w:color w:val="4F81BD" w:themeColor="accent1"/>
          <w:spacing w:val="-2"/>
          <w:sz w:val="20"/>
          <w:szCs w:val="20"/>
        </w:rPr>
        <w:t>13</w:t>
      </w:r>
      <w:r>
        <w:rPr>
          <w:rFonts w:ascii="Verdana" w:hAnsi="Verdana"/>
          <w:color w:val="4F81BD" w:themeColor="accent1"/>
          <w:spacing w:val="-8"/>
          <w:sz w:val="20"/>
          <w:szCs w:val="20"/>
        </w:rPr>
        <w:t xml:space="preserve"> </w:t>
      </w:r>
      <w:r>
        <w:rPr>
          <w:rFonts w:ascii="Verdana" w:hAnsi="Verdana"/>
          <w:color w:val="4F81BD" w:themeColor="accent1"/>
          <w:spacing w:val="-1"/>
          <w:sz w:val="20"/>
          <w:szCs w:val="20"/>
        </w:rPr>
        <w:t>REGOLAMENTO</w:t>
      </w:r>
      <w:r>
        <w:rPr>
          <w:rFonts w:ascii="Verdana" w:hAnsi="Verdana"/>
          <w:color w:val="4F81BD" w:themeColor="accent1"/>
          <w:spacing w:val="-5"/>
          <w:sz w:val="20"/>
          <w:szCs w:val="20"/>
        </w:rPr>
        <w:t xml:space="preserve"> </w:t>
      </w:r>
      <w:r>
        <w:rPr>
          <w:rFonts w:ascii="Verdana" w:hAnsi="Verdana"/>
          <w:color w:val="4F81BD" w:themeColor="accent1"/>
          <w:spacing w:val="-1"/>
          <w:sz w:val="20"/>
          <w:szCs w:val="20"/>
        </w:rPr>
        <w:t>(UE)</w:t>
      </w:r>
      <w:r>
        <w:rPr>
          <w:rFonts w:ascii="Verdana" w:hAnsi="Verdana"/>
          <w:color w:val="4F81BD" w:themeColor="accent1"/>
          <w:spacing w:val="-6"/>
          <w:sz w:val="20"/>
          <w:szCs w:val="20"/>
        </w:rPr>
        <w:t xml:space="preserve"> </w:t>
      </w:r>
      <w:r>
        <w:rPr>
          <w:rFonts w:ascii="Verdana" w:hAnsi="Verdana"/>
          <w:color w:val="4F81BD" w:themeColor="accent1"/>
          <w:spacing w:val="-1"/>
          <w:sz w:val="20"/>
          <w:szCs w:val="20"/>
        </w:rPr>
        <w:t xml:space="preserve">2016/679 </w:t>
      </w:r>
      <w:r>
        <w:rPr>
          <w:rFonts w:ascii="Verdana" w:hAnsi="Verdana"/>
          <w:color w:val="4F81BD" w:themeColor="accent1"/>
          <w:sz w:val="20"/>
          <w:szCs w:val="20"/>
        </w:rPr>
        <w:t>(RGDP)</w:t>
      </w:r>
    </w:p>
    <w:p w14:paraId="6E6A171E" w14:textId="77777777" w:rsidR="00FA0E09" w:rsidRDefault="00FA0E09" w:rsidP="00FA0E09">
      <w:pPr>
        <w:pStyle w:val="Titolo2"/>
        <w:spacing w:before="119"/>
        <w:ind w:left="628"/>
        <w:rPr>
          <w:rFonts w:ascii="Verdana" w:hAnsi="Verdana"/>
          <w:b w:val="0"/>
          <w:color w:val="4F81BD" w:themeColor="accent1"/>
          <w:sz w:val="20"/>
          <w:szCs w:val="20"/>
        </w:rPr>
      </w:pPr>
    </w:p>
    <w:p w14:paraId="3023F2B6" w14:textId="77777777" w:rsidR="00FA0E09" w:rsidRDefault="00FA0E09" w:rsidP="00FA0E09">
      <w:pPr>
        <w:pStyle w:val="Corpotesto"/>
        <w:spacing w:before="120" w:line="360" w:lineRule="auto"/>
        <w:ind w:right="119" w:firstLine="852"/>
        <w:jc w:val="both"/>
      </w:pPr>
      <w:r>
        <w:t xml:space="preserve">Ai sensi degli artt. 13 e 14 del Regolamento Europeo n. 2016/679 si forniscono le seguenti informazioni relative al trattamento dei dati personali: </w:t>
      </w:r>
    </w:p>
    <w:p w14:paraId="6E22EAC9" w14:textId="77777777" w:rsidR="00FA0E09" w:rsidRDefault="00FA0E09" w:rsidP="00FA0E09">
      <w:pPr>
        <w:pStyle w:val="Corpotesto"/>
        <w:spacing w:before="120" w:line="360" w:lineRule="auto"/>
        <w:ind w:right="119"/>
        <w:jc w:val="both"/>
      </w:pPr>
      <w:r>
        <w:rPr>
          <w:b/>
        </w:rPr>
        <w:t>Titolare del trattamento</w:t>
      </w:r>
      <w:r>
        <w:t xml:space="preserve">: Provincia del Medio Campidano– Via Paganini n. 22 Sanluri - C.F. 91031610925– PEC: protocollo@cert.provincia.mediocampidano.it </w:t>
      </w:r>
    </w:p>
    <w:p w14:paraId="4C96037A" w14:textId="77777777" w:rsidR="00FA0E09" w:rsidRDefault="00FA0E09" w:rsidP="00FA0E09">
      <w:pPr>
        <w:pStyle w:val="Corpotesto"/>
        <w:spacing w:before="120" w:line="360" w:lineRule="auto"/>
        <w:ind w:right="119"/>
        <w:jc w:val="both"/>
      </w:pPr>
      <w:r>
        <w:rPr>
          <w:b/>
        </w:rPr>
        <w:t>Responsabile della protezione dei dati personali (DPO):</w:t>
      </w:r>
      <w:r>
        <w:t>il Titolare ha nominato il DPO, che è possibile contattare inviando una comunicazione all’indirizzo del Titolare, oppure una e-mail al seguente indirizzo: privacy@comune.it</w:t>
      </w:r>
    </w:p>
    <w:p w14:paraId="32102CDF" w14:textId="77777777" w:rsidR="00FA0E09" w:rsidRDefault="00FA0E09" w:rsidP="00FA0E09">
      <w:pPr>
        <w:pStyle w:val="Corpotesto"/>
        <w:spacing w:before="120" w:line="360" w:lineRule="auto"/>
        <w:ind w:right="119"/>
        <w:jc w:val="both"/>
      </w:pPr>
      <w:r>
        <w:rPr>
          <w:b/>
        </w:rPr>
        <w:t>Finalità e base giuridica del trattamento</w:t>
      </w:r>
      <w:r>
        <w:t xml:space="preserve">: I dati personali ed anagrafici (nome, cognome, luogo e data di nascita, indirizzo e-mail, etc.) raccolti nell’ambito della presente proceduta vengono forniti dai candidati </w:t>
      </w:r>
    </w:p>
    <w:p w14:paraId="319640C7" w14:textId="3425C4DE" w:rsidR="00FA0E09" w:rsidRDefault="00FA0E09" w:rsidP="00FA0E09">
      <w:pPr>
        <w:pStyle w:val="Corpotesto"/>
        <w:spacing w:before="120" w:line="360" w:lineRule="auto"/>
        <w:ind w:right="119" w:firstLine="720"/>
        <w:jc w:val="both"/>
      </w:pPr>
      <w:r>
        <w:t>È</w:t>
      </w:r>
      <w:r>
        <w:t xml:space="preserve"> possibile che si chieda ai candidati nel perfezionamento della procedura ulteriori informazioni (codice IBAN, dati anagrafici delle persone abilitate a operare sul conto corrente dedicato) necessari per la fase della stipulazione del contratto. </w:t>
      </w:r>
    </w:p>
    <w:p w14:paraId="6C3FDCFE" w14:textId="4212E7DF" w:rsidR="00FA0E09" w:rsidRDefault="00FA0E09" w:rsidP="00FA0E09">
      <w:pPr>
        <w:pStyle w:val="Corpotesto"/>
        <w:spacing w:before="120" w:line="360" w:lineRule="auto"/>
        <w:ind w:right="119" w:firstLine="852"/>
        <w:jc w:val="both"/>
      </w:pPr>
      <w:r>
        <w:t>I dati personali sono trattati per finalità connesse all’attuazione della procedura di gara indetta dal Titolare del trattamento – Area Amministrativa Appalti, Istruzione</w:t>
      </w:r>
      <w:r>
        <w:t xml:space="preserve">, </w:t>
      </w:r>
      <w:r>
        <w:t xml:space="preserve">Cultura e </w:t>
      </w:r>
      <w:r>
        <w:t>CED</w:t>
      </w:r>
      <w:r>
        <w:t xml:space="preserve"> – Servizio Cultura e politiche Giovanili – Ufficio lingua Sarda, e per l’attuazione della successiva fase di stipulazione del contratto. </w:t>
      </w:r>
    </w:p>
    <w:p w14:paraId="690E0025" w14:textId="77777777" w:rsidR="00FA0E09" w:rsidRDefault="00FA0E09" w:rsidP="00FA0E09">
      <w:pPr>
        <w:pStyle w:val="Corpotesto"/>
        <w:spacing w:before="120" w:line="360" w:lineRule="auto"/>
        <w:ind w:right="119"/>
        <w:jc w:val="both"/>
      </w:pPr>
      <w:r>
        <w:rPr>
          <w:b/>
        </w:rPr>
        <w:t>Il trattamento dei dati personal</w:t>
      </w:r>
      <w:r>
        <w:t xml:space="preserve">i è diretto all’espletamento da parte della Provincia di funzioni istituzionali inerenti alla gestione della procedura di verifica dell’indagine selettiva in oggetto e saranno trattati per l’eventuale rilascio di provvedimenti annessi e/o conseguenti e per l’eventuale affidamento, pertanto, ai sensi dell’art. 6 c. 1 lett. e) del Regolamento europeo, non necessita del suo consenso. Le operazioni eseguite sui dati sono controllo e registrazione. La base giuridica del trattamento è sempre la legge e/o </w:t>
      </w:r>
      <w:r>
        <w:lastRenderedPageBreak/>
        <w:t>l’interesse pubblico e il conferimento dei dati è necessario per l’espletamento della procedura nel suo complesso. Per trattamento di dati personali, ai sensi della norma, si intende qualunque operazione o complesso di operazioni, svolti con o senza l'ausilio di mezzi elettronici o comunque automatizzati, concernenti la raccolta, la registrazione, l'organizzazione, la conservazione, l'elaborazione, la modificazione, la selezione, l'estrazione, il raffronto, l'utilizzo, l'interconnessione, il blocco, la comunicazione, la diffusione, la cancellazione e la distribuzione di dati.</w:t>
      </w:r>
    </w:p>
    <w:p w14:paraId="59287FA7" w14:textId="77777777" w:rsidR="00FA0E09" w:rsidRDefault="00FA0E09" w:rsidP="00FA0E09">
      <w:pPr>
        <w:pStyle w:val="Corpotesto"/>
        <w:spacing w:before="120" w:line="360" w:lineRule="auto"/>
        <w:ind w:right="119" w:firstLine="852"/>
        <w:jc w:val="both"/>
      </w:pPr>
      <w:r>
        <w:t xml:space="preserve"> Il Titolare del trattamento assicura che il trattamento dei dati sarà effettuato tramite l'utilizzo di idonee procedure che evitino il rischio di perdita, accesso non autorizzato, uso illecito e diffusione, nel rispetto dei limiti e delle condizioni posti dal Regolamento UE 2016/679. </w:t>
      </w:r>
    </w:p>
    <w:p w14:paraId="01B61F4F" w14:textId="77777777" w:rsidR="00FA0E09" w:rsidRDefault="00FA0E09" w:rsidP="00FA0E09">
      <w:pPr>
        <w:pStyle w:val="Corpotesto"/>
        <w:spacing w:before="120" w:line="360" w:lineRule="auto"/>
        <w:ind w:right="119"/>
        <w:jc w:val="both"/>
      </w:pPr>
      <w:r>
        <w:rPr>
          <w:b/>
        </w:rPr>
        <w:t>Destinatari dei dati personali</w:t>
      </w:r>
      <w:r>
        <w:t>: I dati raccolti non saranno diffusi e non saranno oggetto di comunicazione a terzi, salvo le comunicazioni/pubblicazioni necessarie o obbligatorie che possono comportare il trasferimento di dati ad enti pubblici, a consulenti o ad altri soggetti per l’adempimento degli obblighi di legge e per le normali attività connesse all’attuazione della procedura.</w:t>
      </w:r>
    </w:p>
    <w:p w14:paraId="42DBD3EB" w14:textId="27FE58A2" w:rsidR="00FA0E09" w:rsidRDefault="00FA0E09" w:rsidP="00FA0E09">
      <w:pPr>
        <w:pStyle w:val="Corpotesto"/>
        <w:spacing w:before="120" w:line="360" w:lineRule="auto"/>
        <w:ind w:right="119"/>
        <w:jc w:val="both"/>
        <w:rPr>
          <w:b/>
        </w:rPr>
      </w:pPr>
      <w:r>
        <w:rPr>
          <w:b/>
        </w:rPr>
        <w:t>I soggetti che possono venire a conoscenza dei dati personali dell'operatore</w:t>
      </w:r>
      <w:r>
        <w:rPr>
          <w:b/>
        </w:rPr>
        <w:t xml:space="preserve"> </w:t>
      </w:r>
      <w:r>
        <w:rPr>
          <w:b/>
        </w:rPr>
        <w:t>e dell’operatrice in qualità di responsabili o incaricati (in base all'Articolo 13 C. 1 del GDPR) sono:</w:t>
      </w:r>
    </w:p>
    <w:p w14:paraId="065DBD63" w14:textId="77777777" w:rsidR="00FA0E09" w:rsidRDefault="00FA0E09" w:rsidP="00FA0E09">
      <w:pPr>
        <w:pStyle w:val="Corpotesto"/>
        <w:spacing w:before="120" w:line="360" w:lineRule="auto"/>
        <w:ind w:right="119" w:firstLine="852"/>
        <w:jc w:val="both"/>
      </w:pPr>
      <w:r>
        <w:t xml:space="preserve"> Il Titolare del trattamento; </w:t>
      </w:r>
    </w:p>
    <w:p w14:paraId="55372F5E" w14:textId="77777777" w:rsidR="00FA0E09" w:rsidRDefault="00FA0E09" w:rsidP="00FA0E09">
      <w:pPr>
        <w:pStyle w:val="Corpotesto"/>
        <w:spacing w:before="120" w:line="360" w:lineRule="auto"/>
        <w:ind w:right="119" w:firstLine="852"/>
        <w:jc w:val="both"/>
      </w:pPr>
      <w:r>
        <w:t xml:space="preserve">Il personale del Titolare del trattamento, per l'espletamento delle varie fasi del procedimento e per la fase successiva di perfezionamento degli eventuali atti conseguenti </w:t>
      </w:r>
    </w:p>
    <w:p w14:paraId="41211006" w14:textId="77777777" w:rsidR="00FA0E09" w:rsidRDefault="00FA0E09" w:rsidP="00FA0E09">
      <w:pPr>
        <w:pStyle w:val="Corpotesto"/>
        <w:spacing w:before="120" w:line="360" w:lineRule="auto"/>
        <w:ind w:right="119"/>
        <w:jc w:val="both"/>
      </w:pPr>
      <w:r>
        <w:rPr>
          <w:b/>
        </w:rPr>
        <w:t>Periodo di conservazione:</w:t>
      </w:r>
      <w:r>
        <w:t xml:space="preserve"> I dati raccolti saranno inseriti nel database dell’Ente conservati per il tempo della durata dell’intervento, al termine del quale saranno cancellati o resi anonimi nei tempi stabiliti dalle norme applicabili. </w:t>
      </w:r>
    </w:p>
    <w:p w14:paraId="2C709F15" w14:textId="77777777" w:rsidR="00FA0E09" w:rsidRDefault="00FA0E09" w:rsidP="00FA0E09">
      <w:pPr>
        <w:pStyle w:val="Corpotesto"/>
        <w:spacing w:before="120" w:line="360" w:lineRule="auto"/>
        <w:ind w:right="119" w:firstLine="852"/>
        <w:jc w:val="both"/>
      </w:pPr>
      <w:r>
        <w:t xml:space="preserve">Ai sensi dell'Art. 13, c. 2, lett. f) del Regolamento, si informa che tutti i dati raccolti non saranno comunque oggetto di alcun processo decisionale automatizzato, compresa la profilazione. </w:t>
      </w:r>
    </w:p>
    <w:p w14:paraId="7793A77E" w14:textId="77777777" w:rsidR="00FA0E09" w:rsidRDefault="00FA0E09" w:rsidP="00FA0E09">
      <w:pPr>
        <w:pStyle w:val="Corpotesto"/>
        <w:spacing w:before="120" w:line="360" w:lineRule="auto"/>
        <w:ind w:right="119"/>
        <w:jc w:val="both"/>
      </w:pPr>
      <w:bookmarkStart w:id="0" w:name="_GoBack"/>
      <w:bookmarkEnd w:id="0"/>
      <w:r>
        <w:rPr>
          <w:b/>
        </w:rPr>
        <w:t>Diritti dell’interessato:</w:t>
      </w:r>
      <w:r>
        <w:t xml:space="preserve"> Gli utenti possono sempre esercitare i diritti esplicitati negli articoli 13 (C. 2), 15, 17, 18, 19 e 21 del GDPR e in particolare l’interessato:</w:t>
      </w:r>
    </w:p>
    <w:p w14:paraId="768D75D2" w14:textId="77777777" w:rsidR="00FA0E09" w:rsidRDefault="00FA0E09" w:rsidP="00FA0E09">
      <w:pPr>
        <w:pStyle w:val="Corpotesto"/>
        <w:numPr>
          <w:ilvl w:val="0"/>
          <w:numId w:val="17"/>
        </w:numPr>
        <w:suppressAutoHyphens/>
        <w:autoSpaceDE/>
        <w:autoSpaceDN/>
        <w:spacing w:before="120" w:line="360" w:lineRule="auto"/>
        <w:ind w:right="119"/>
        <w:jc w:val="both"/>
      </w:pPr>
      <w:r>
        <w:lastRenderedPageBreak/>
        <w:t xml:space="preserve">ha il diritto di ottenere la conferma dell'esistenza di dati che lo riguardano, anche se non ancora comunicati, e di avere la loro comunicazione in forma intelligibile; </w:t>
      </w:r>
    </w:p>
    <w:p w14:paraId="2BEDEC9B" w14:textId="77777777" w:rsidR="00FA0E09" w:rsidRDefault="00FA0E09" w:rsidP="00FA0E09">
      <w:pPr>
        <w:pStyle w:val="Corpotesto"/>
        <w:numPr>
          <w:ilvl w:val="0"/>
          <w:numId w:val="17"/>
        </w:numPr>
        <w:suppressAutoHyphens/>
        <w:autoSpaceDE/>
        <w:autoSpaceDN/>
        <w:spacing w:before="120" w:line="360" w:lineRule="auto"/>
        <w:ind w:right="119"/>
        <w:jc w:val="both"/>
      </w:pPr>
      <w:r>
        <w:t xml:space="preserve">ha il diritto di chiedere al Titolare del trattamento l'accesso ai dati personali, l'integrazione, la rettifica, la cancellazione degli stessi o la limitazione dei trattamenti che lo riguardano o di opporsi al loro trattamento, oltre al diritto alla portabilità dei dati; </w:t>
      </w:r>
    </w:p>
    <w:p w14:paraId="619ABEC3" w14:textId="77777777" w:rsidR="00FA0E09" w:rsidRDefault="00FA0E09" w:rsidP="00FA0E09">
      <w:pPr>
        <w:pStyle w:val="Corpotesto"/>
        <w:numPr>
          <w:ilvl w:val="0"/>
          <w:numId w:val="17"/>
        </w:numPr>
        <w:suppressAutoHyphens/>
        <w:autoSpaceDE/>
        <w:autoSpaceDN/>
        <w:spacing w:before="120" w:line="360" w:lineRule="auto"/>
        <w:ind w:right="119"/>
        <w:jc w:val="both"/>
      </w:pPr>
      <w:r>
        <w:t xml:space="preserve">ha il diritto di proporre un reclamo al Garante per la protezione dei dati personali, seguendo le procedure e le indicazioni pubblicate sul sito web ufficiale dell'Autorità su </w:t>
      </w:r>
      <w:hyperlink r:id="rId8" w:history="1">
        <w:r>
          <w:rPr>
            <w:rStyle w:val="CollegamentoInternet"/>
          </w:rPr>
          <w:t>www.garanteprivacy.it</w:t>
        </w:r>
      </w:hyperlink>
      <w:r>
        <w:t xml:space="preserve">. </w:t>
      </w:r>
    </w:p>
    <w:p w14:paraId="0895317C" w14:textId="5E94D186" w:rsidR="00FA0E09" w:rsidRDefault="00FA0E09" w:rsidP="00FA0E09">
      <w:pPr>
        <w:pStyle w:val="Corpotesto"/>
        <w:spacing w:before="120" w:line="360" w:lineRule="auto"/>
        <w:ind w:right="119"/>
        <w:jc w:val="both"/>
      </w:pPr>
      <w:r>
        <w:t>L'esercizio dei diritti non è soggetto ad alcun vincolo di forma ed è gratuito. Gli utenti possono esercitare i propri diritti in qualsiasi momento, inviando una mail all'indirizzo protocollo@provincia.mediocampidano.it, oppure scrivendo a mezzo posta a: Provincia del Medio Campidano, Servizio cultura e politiche giovanili – Ufficio Lingua Sarda - Via Paganini</w:t>
      </w:r>
      <w:r>
        <w:t xml:space="preserve">, </w:t>
      </w:r>
      <w:r>
        <w:t xml:space="preserve">n. 22 – CAP 09025, Sanluri. </w:t>
      </w:r>
    </w:p>
    <w:p w14:paraId="5E981213" w14:textId="30EF4CBB" w:rsidR="00FA0E09" w:rsidRDefault="00FA0E09" w:rsidP="00FA0E09">
      <w:pPr>
        <w:pStyle w:val="Corpotesto"/>
        <w:spacing w:before="120" w:line="360" w:lineRule="auto"/>
        <w:ind w:right="119"/>
        <w:jc w:val="both"/>
      </w:pPr>
      <w:r>
        <w:rPr>
          <w:b/>
        </w:rPr>
        <w:t xml:space="preserve">Reclamo: </w:t>
      </w:r>
      <w:r>
        <w:t xml:space="preserve">l’interessato ha diritto di proporre reclamo al Garante per la Protezione dei Dati Personali, con sede in piazza di Montecitorio, 121 – 00186 Roma _ t. (+39)06 696771 _ fax (+39)06 69677 3785 _ PEC protocollo@pec.gpdp.it - Ufficio Relazioni con il Pubblico </w:t>
      </w:r>
      <w:hyperlink r:id="rId9" w:history="1">
        <w:r w:rsidRPr="00DE5618">
          <w:rPr>
            <w:rStyle w:val="Collegamentoipertestuale"/>
          </w:rPr>
          <w:t>urp@gpdp.ita</w:t>
        </w:r>
      </w:hyperlink>
      <w:r>
        <w:rPr>
          <w:spacing w:val="-8"/>
        </w:rPr>
        <w:t xml:space="preserve"> </w:t>
      </w:r>
    </w:p>
    <w:p w14:paraId="0AFA4D4E" w14:textId="77777777" w:rsidR="00FA0E09" w:rsidRDefault="00FA0E09" w:rsidP="00FA0E09">
      <w:pPr>
        <w:pStyle w:val="Titolo2"/>
        <w:ind w:left="2102" w:right="0"/>
        <w:jc w:val="left"/>
        <w:rPr>
          <w:rFonts w:ascii="Arial Narrow" w:hAnsi="Arial Narrow"/>
          <w:spacing w:val="-2"/>
        </w:rPr>
      </w:pPr>
    </w:p>
    <w:p w14:paraId="3F745A1D" w14:textId="77777777" w:rsidR="00FA0E09" w:rsidRDefault="00FA0E09" w:rsidP="00FA0E09">
      <w:pPr>
        <w:rPr>
          <w:rFonts w:ascii="Arial MT" w:hAnsi="Arial MT"/>
        </w:rPr>
      </w:pPr>
    </w:p>
    <w:p w14:paraId="6DB1EDE3" w14:textId="77777777" w:rsidR="00FA0E09" w:rsidRDefault="00FA0E09" w:rsidP="00FA0E09">
      <w:r>
        <w:t xml:space="preserve">Luogo, data </w:t>
      </w:r>
    </w:p>
    <w:p w14:paraId="5E00181F" w14:textId="77777777" w:rsidR="00FA0E09" w:rsidRDefault="00FA0E09" w:rsidP="00FA0E09"/>
    <w:p w14:paraId="44AA4470" w14:textId="77777777" w:rsidR="00FA0E09" w:rsidRDefault="00FA0E09" w:rsidP="00FA0E09"/>
    <w:p w14:paraId="53105B19" w14:textId="77777777" w:rsidR="00FA0E09" w:rsidRDefault="00FA0E09" w:rsidP="00FA0E09"/>
    <w:p w14:paraId="3583A2D4" w14:textId="77777777" w:rsidR="00FA0E09" w:rsidRDefault="00FA0E09" w:rsidP="00FA0E09">
      <w:pPr>
        <w:jc w:val="center"/>
      </w:pPr>
      <w:r>
        <w:t>Firma</w:t>
      </w:r>
    </w:p>
    <w:p w14:paraId="160A6334" w14:textId="77777777" w:rsidR="00FA0E09" w:rsidRDefault="00FA0E09" w:rsidP="00FA0E09">
      <w:pPr>
        <w:jc w:val="center"/>
      </w:pPr>
    </w:p>
    <w:p w14:paraId="278C809C" w14:textId="77777777" w:rsidR="00FA0E09" w:rsidRDefault="00FA0E09" w:rsidP="00FA0E09">
      <w:pPr>
        <w:jc w:val="center"/>
      </w:pPr>
    </w:p>
    <w:p w14:paraId="542E956C" w14:textId="77777777" w:rsidR="00FA0E09" w:rsidRDefault="00FA0E09" w:rsidP="00FA0E09">
      <w:pPr>
        <w:jc w:val="center"/>
      </w:pPr>
      <w:r>
        <w:t>_____________________</w:t>
      </w:r>
    </w:p>
    <w:p w14:paraId="3FD4FDC6" w14:textId="48F658AE" w:rsidR="005E0D48" w:rsidRPr="00CE555F" w:rsidRDefault="005E0D48" w:rsidP="00FA0E09">
      <w:pPr>
        <w:spacing w:before="93"/>
        <w:ind w:left="198" w:right="220"/>
        <w:jc w:val="center"/>
        <w:outlineLvl w:val="0"/>
        <w:rPr>
          <w:rFonts w:eastAsia="Times New Roman" w:cs="Segoe UI"/>
          <w:sz w:val="18"/>
          <w:szCs w:val="18"/>
          <w:lang w:eastAsia="it-IT"/>
        </w:rPr>
      </w:pPr>
    </w:p>
    <w:sectPr w:rsidR="005E0D48" w:rsidRPr="00CE555F" w:rsidSect="006627E9">
      <w:headerReference w:type="default" r:id="rId10"/>
      <w:footerReference w:type="default" r:id="rId11"/>
      <w:type w:val="continuous"/>
      <w:pgSz w:w="11900" w:h="16840"/>
      <w:pgMar w:top="1418" w:right="1474" w:bottom="1418" w:left="124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D2C54" w14:textId="77777777" w:rsidR="00191A44" w:rsidRDefault="00191A44" w:rsidP="004913D0">
      <w:r>
        <w:separator/>
      </w:r>
    </w:p>
  </w:endnote>
  <w:endnote w:type="continuationSeparator" w:id="0">
    <w:p w14:paraId="722C9AD5" w14:textId="77777777" w:rsidR="00191A44" w:rsidRDefault="00191A44" w:rsidP="0049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1E21E" w14:textId="77777777" w:rsidR="00FA3DDB" w:rsidRDefault="00FA3DDB">
    <w:pPr>
      <w:pStyle w:val="Pidipagina"/>
      <w:rPr>
        <w:b/>
        <w:color w:val="1F497D" w:themeColor="text2"/>
        <w:sz w:val="16"/>
        <w:szCs w:val="16"/>
      </w:rPr>
    </w:pPr>
  </w:p>
  <w:p w14:paraId="6E7C725C" w14:textId="77777777" w:rsidR="00FA3DDB" w:rsidRDefault="00191A44">
    <w:pPr>
      <w:pStyle w:val="Pidipagina"/>
      <w:rPr>
        <w:b/>
        <w:color w:val="1F497D" w:themeColor="text2"/>
        <w:sz w:val="16"/>
        <w:szCs w:val="16"/>
      </w:rPr>
    </w:pPr>
    <w:r>
      <w:rPr>
        <w:b/>
        <w:color w:val="1F497D" w:themeColor="text2"/>
        <w:sz w:val="16"/>
        <w:szCs w:val="16"/>
      </w:rPr>
      <w:pict w14:anchorId="5E2BEA1F">
        <v:rect id="_x0000_i1029" style="width:488.75pt;height:1.5pt" o:hralign="center" o:hrstd="t" o:hrnoshade="t" o:hr="t" fillcolor="#1f497d [3215]" stroked="f"/>
      </w:pict>
    </w:r>
  </w:p>
  <w:p w14:paraId="373C2EFB" w14:textId="77777777" w:rsidR="007E2178" w:rsidRDefault="00FA13AC">
    <w:pPr>
      <w:pStyle w:val="Pidipagina"/>
      <w:rPr>
        <w:color w:val="1F497D" w:themeColor="text2"/>
        <w:sz w:val="16"/>
        <w:szCs w:val="16"/>
      </w:rPr>
    </w:pPr>
    <w:r w:rsidRPr="00EE407C">
      <w:rPr>
        <w:b/>
        <w:color w:val="1F497D" w:themeColor="text2"/>
        <w:sz w:val="16"/>
        <w:szCs w:val="16"/>
      </w:rPr>
      <w:t>Provincia</w:t>
    </w:r>
    <w:r w:rsidRPr="00FA13AC">
      <w:rPr>
        <w:b/>
        <w:color w:val="1F497D" w:themeColor="text2"/>
        <w:sz w:val="16"/>
        <w:szCs w:val="16"/>
      </w:rPr>
      <w:t xml:space="preserve"> del Medio Campidano:</w:t>
    </w:r>
    <w:r w:rsidRPr="00FA13AC">
      <w:rPr>
        <w:sz w:val="16"/>
        <w:szCs w:val="16"/>
      </w:rPr>
      <w:t xml:space="preserve"> Via Paganini, n° 22 – 09025 Sanluri</w:t>
    </w:r>
  </w:p>
  <w:p w14:paraId="1AE31AE4" w14:textId="77777777" w:rsidR="00FA13AC" w:rsidRDefault="00FA13AC">
    <w:pPr>
      <w:pStyle w:val="Pidipagina"/>
      <w:rPr>
        <w:sz w:val="16"/>
        <w:szCs w:val="16"/>
      </w:rPr>
    </w:pPr>
    <w:r w:rsidRPr="00FA13AC">
      <w:rPr>
        <w:b/>
        <w:color w:val="1F497D" w:themeColor="text2"/>
        <w:sz w:val="16"/>
        <w:szCs w:val="16"/>
      </w:rPr>
      <w:t xml:space="preserve">Codice fiscale: </w:t>
    </w:r>
    <w:r w:rsidR="00CC5D31" w:rsidRPr="00CC5D31">
      <w:rPr>
        <w:sz w:val="16"/>
        <w:szCs w:val="16"/>
      </w:rPr>
      <w:t>91031610925</w:t>
    </w:r>
  </w:p>
  <w:p w14:paraId="158B7027" w14:textId="77777777" w:rsidR="0090080D" w:rsidRDefault="0090080D">
    <w:pPr>
      <w:pStyle w:val="Pidipagina"/>
      <w:rPr>
        <w:sz w:val="16"/>
        <w:szCs w:val="16"/>
      </w:rPr>
    </w:pPr>
    <w:r w:rsidRPr="0090080D">
      <w:rPr>
        <w:b/>
        <w:color w:val="1F497D" w:themeColor="text2"/>
        <w:sz w:val="16"/>
        <w:szCs w:val="16"/>
      </w:rPr>
      <w:t>Tel:</w:t>
    </w:r>
    <w:r>
      <w:rPr>
        <w:sz w:val="16"/>
        <w:szCs w:val="16"/>
      </w:rPr>
      <w:t xml:space="preserve"> 0709356</w:t>
    </w:r>
    <w:r w:rsidR="00FA1B50">
      <w:rPr>
        <w:sz w:val="16"/>
        <w:szCs w:val="16"/>
      </w:rPr>
      <w:t>00</w:t>
    </w:r>
    <w:r>
      <w:rPr>
        <w:sz w:val="16"/>
        <w:szCs w:val="16"/>
      </w:rPr>
      <w:t xml:space="preserve">1 </w:t>
    </w:r>
  </w:p>
  <w:p w14:paraId="215A3B0C" w14:textId="77777777" w:rsidR="00CC5D31" w:rsidRDefault="00CC5D31">
    <w:pPr>
      <w:pStyle w:val="Pidipagina"/>
      <w:rPr>
        <w:b/>
        <w:color w:val="1F497D" w:themeColor="text2"/>
        <w:sz w:val="16"/>
        <w:szCs w:val="16"/>
      </w:rPr>
    </w:pPr>
    <w:r>
      <w:rPr>
        <w:b/>
        <w:color w:val="1F497D" w:themeColor="text2"/>
        <w:sz w:val="16"/>
        <w:szCs w:val="16"/>
      </w:rPr>
      <w:t xml:space="preserve">PEC: </w:t>
    </w:r>
    <w:hyperlink r:id="rId1" w:history="1">
      <w:r w:rsidRPr="009A4143">
        <w:rPr>
          <w:rStyle w:val="Collegamentoipertestuale"/>
          <w:b/>
          <w:sz w:val="16"/>
          <w:szCs w:val="16"/>
        </w:rPr>
        <w:t>protocollo@cert.provincia.mediocampidano.it</w:t>
      </w:r>
    </w:hyperlink>
  </w:p>
  <w:p w14:paraId="1D97FBA6" w14:textId="77777777" w:rsidR="00CC5D31" w:rsidRPr="00FA13AC" w:rsidRDefault="00464E43">
    <w:pPr>
      <w:pStyle w:val="Pidipagina"/>
      <w:rPr>
        <w:b/>
        <w:color w:val="1F497D" w:themeColor="text2"/>
        <w:sz w:val="16"/>
        <w:szCs w:val="16"/>
      </w:rPr>
    </w:pPr>
    <w:r w:rsidRPr="00464E43">
      <w:rPr>
        <w:b/>
        <w:color w:val="1F497D" w:themeColor="text2"/>
        <w:sz w:val="16"/>
        <w:szCs w:val="16"/>
      </w:rPr>
      <w:t>https://www.provincia.mediocampidano.it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6E85A" w14:textId="77777777" w:rsidR="00191A44" w:rsidRDefault="00191A44" w:rsidP="004913D0">
      <w:r>
        <w:separator/>
      </w:r>
    </w:p>
  </w:footnote>
  <w:footnote w:type="continuationSeparator" w:id="0">
    <w:p w14:paraId="70CD52C4" w14:textId="77777777" w:rsidR="00191A44" w:rsidRDefault="00191A44" w:rsidP="0049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D04D" w14:textId="77777777" w:rsidR="004913D0" w:rsidRDefault="004913D0" w:rsidP="00B21331">
    <w:pPr>
      <w:pStyle w:val="Titolo"/>
      <w:ind w:left="0"/>
      <w:rPr>
        <w:color w:val="993200"/>
      </w:rPr>
    </w:pPr>
    <w:r>
      <w:rPr>
        <w:noProof/>
        <w:color w:val="993200"/>
        <w:lang w:eastAsia="it-IT"/>
      </w:rPr>
      <w:drawing>
        <wp:inline distT="0" distB="0" distL="0" distR="0" wp14:anchorId="3317A874" wp14:editId="2DA64182">
          <wp:extent cx="1061085" cy="457200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CE239D" w14:textId="77777777" w:rsidR="004913D0" w:rsidRDefault="004913D0" w:rsidP="00B21331">
    <w:pPr>
      <w:pStyle w:val="Titolo"/>
      <w:ind w:left="0"/>
      <w:rPr>
        <w:color w:val="1F497D" w:themeColor="text2"/>
      </w:rPr>
    </w:pPr>
    <w:r w:rsidRPr="00EE407C">
      <w:rPr>
        <w:color w:val="1F497D" w:themeColor="text2"/>
      </w:rPr>
      <w:t>PROVINCIA</w:t>
    </w:r>
    <w:r w:rsidRPr="00A86B46">
      <w:rPr>
        <w:color w:val="1F497D" w:themeColor="text2"/>
      </w:rPr>
      <w:t xml:space="preserve"> DEL MEDIO CAMPIDANO</w:t>
    </w:r>
  </w:p>
  <w:p w14:paraId="3C3931CD" w14:textId="123FFAB1" w:rsidR="006E30B7" w:rsidRDefault="00271D1D" w:rsidP="006E30B7">
    <w:pPr>
      <w:pStyle w:val="Titolo"/>
      <w:ind w:left="0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Area Amministrativa, Appalti, Istruzione, Cultura e C</w:t>
    </w:r>
    <w:r w:rsidR="00CE555F">
      <w:rPr>
        <w:color w:val="1F497D" w:themeColor="text2"/>
        <w:sz w:val="18"/>
        <w:szCs w:val="18"/>
      </w:rPr>
      <w:t>ED</w:t>
    </w:r>
  </w:p>
  <w:p w14:paraId="7938514C" w14:textId="7270CA6E" w:rsidR="006E30B7" w:rsidRPr="00F92AC3" w:rsidRDefault="006E30B7" w:rsidP="006E30B7">
    <w:pPr>
      <w:pStyle w:val="Titolo"/>
      <w:ind w:left="0"/>
      <w:rPr>
        <w:color w:val="1F497D" w:themeColor="text2"/>
        <w:sz w:val="18"/>
        <w:szCs w:val="18"/>
      </w:rPr>
    </w:pPr>
    <w:bookmarkStart w:id="1" w:name="OLE_LINK1"/>
    <w:r w:rsidRPr="00F92AC3">
      <w:rPr>
        <w:color w:val="1F497D" w:themeColor="text2"/>
        <w:sz w:val="18"/>
        <w:szCs w:val="18"/>
      </w:rPr>
      <w:t xml:space="preserve">Servizio </w:t>
    </w:r>
    <w:bookmarkEnd w:id="1"/>
    <w:r w:rsidR="00CE555F">
      <w:rPr>
        <w:color w:val="1F497D" w:themeColor="text2"/>
        <w:sz w:val="18"/>
        <w:szCs w:val="18"/>
      </w:rPr>
      <w:t>Cultura</w:t>
    </w:r>
  </w:p>
  <w:p w14:paraId="0093C9EC" w14:textId="77777777" w:rsidR="00F92AC3" w:rsidRPr="00F92AC3" w:rsidRDefault="00F92AC3" w:rsidP="006E30B7">
    <w:pPr>
      <w:pStyle w:val="Titolo"/>
      <w:ind w:left="0"/>
      <w:rPr>
        <w:color w:val="1F497D" w:themeColor="text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B20"/>
    <w:multiLevelType w:val="hybridMultilevel"/>
    <w:tmpl w:val="E75E7CEE"/>
    <w:lvl w:ilvl="0" w:tplc="524697CC">
      <w:numFmt w:val="bullet"/>
      <w:lvlText w:val="-"/>
      <w:lvlJc w:val="left"/>
      <w:pPr>
        <w:ind w:left="1080" w:hanging="360"/>
      </w:pPr>
      <w:rPr>
        <w:rFonts w:ascii="Verdana" w:eastAsia="Times New Roman" w:hAnsi="Verdana" w:cs="Segoe U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50168"/>
    <w:multiLevelType w:val="multilevel"/>
    <w:tmpl w:val="4048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6545"/>
    <w:multiLevelType w:val="multilevel"/>
    <w:tmpl w:val="937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418B0"/>
    <w:multiLevelType w:val="multilevel"/>
    <w:tmpl w:val="A96A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030C3"/>
    <w:multiLevelType w:val="hybridMultilevel"/>
    <w:tmpl w:val="178CA9A4"/>
    <w:lvl w:ilvl="0" w:tplc="BBAA133A">
      <w:numFmt w:val="bullet"/>
      <w:lvlText w:val="-"/>
      <w:lvlJc w:val="left"/>
      <w:pPr>
        <w:ind w:left="360" w:hanging="360"/>
      </w:pPr>
      <w:rPr>
        <w:rFonts w:ascii="Verdana" w:eastAsia="Times New Roman" w:hAnsi="Verdana" w:cs="Segoe U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933E31"/>
    <w:multiLevelType w:val="multilevel"/>
    <w:tmpl w:val="226A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33B28"/>
    <w:multiLevelType w:val="multilevel"/>
    <w:tmpl w:val="7A708B08"/>
    <w:lvl w:ilvl="0">
      <w:start w:val="1"/>
      <w:numFmt w:val="bullet"/>
      <w:lvlText w:val="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67037E"/>
    <w:multiLevelType w:val="hybridMultilevel"/>
    <w:tmpl w:val="5C269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D798B"/>
    <w:multiLevelType w:val="hybridMultilevel"/>
    <w:tmpl w:val="119028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DE1893"/>
    <w:multiLevelType w:val="hybridMultilevel"/>
    <w:tmpl w:val="EEC6B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8694B"/>
    <w:multiLevelType w:val="multilevel"/>
    <w:tmpl w:val="42C6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A3612"/>
    <w:multiLevelType w:val="hybridMultilevel"/>
    <w:tmpl w:val="D9623A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97903"/>
    <w:multiLevelType w:val="hybridMultilevel"/>
    <w:tmpl w:val="6AA60506"/>
    <w:lvl w:ilvl="0" w:tplc="444A55F8">
      <w:numFmt w:val="bullet"/>
      <w:lvlText w:val="-"/>
      <w:lvlJc w:val="left"/>
      <w:pPr>
        <w:ind w:left="10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70681398"/>
    <w:multiLevelType w:val="hybridMultilevel"/>
    <w:tmpl w:val="BB9CC948"/>
    <w:lvl w:ilvl="0" w:tplc="7B26F794">
      <w:numFmt w:val="bullet"/>
      <w:lvlText w:val="-"/>
      <w:lvlJc w:val="left"/>
      <w:pPr>
        <w:ind w:left="424" w:hanging="284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1" w:tplc="B210A2C6">
      <w:numFmt w:val="bullet"/>
      <w:lvlText w:val="•"/>
      <w:lvlJc w:val="left"/>
      <w:pPr>
        <w:ind w:left="787" w:hanging="284"/>
      </w:pPr>
      <w:rPr>
        <w:rFonts w:hint="default"/>
        <w:lang w:val="it-IT" w:eastAsia="en-US" w:bidi="ar-SA"/>
      </w:rPr>
    </w:lvl>
    <w:lvl w:ilvl="2" w:tplc="32AA1474">
      <w:numFmt w:val="bullet"/>
      <w:lvlText w:val="•"/>
      <w:lvlJc w:val="left"/>
      <w:pPr>
        <w:ind w:left="1155" w:hanging="284"/>
      </w:pPr>
      <w:rPr>
        <w:rFonts w:hint="default"/>
        <w:lang w:val="it-IT" w:eastAsia="en-US" w:bidi="ar-SA"/>
      </w:rPr>
    </w:lvl>
    <w:lvl w:ilvl="3" w:tplc="107A5F86">
      <w:numFmt w:val="bullet"/>
      <w:lvlText w:val="•"/>
      <w:lvlJc w:val="left"/>
      <w:pPr>
        <w:ind w:left="1523" w:hanging="284"/>
      </w:pPr>
      <w:rPr>
        <w:rFonts w:hint="default"/>
        <w:lang w:val="it-IT" w:eastAsia="en-US" w:bidi="ar-SA"/>
      </w:rPr>
    </w:lvl>
    <w:lvl w:ilvl="4" w:tplc="FBAE0846">
      <w:numFmt w:val="bullet"/>
      <w:lvlText w:val="•"/>
      <w:lvlJc w:val="left"/>
      <w:pPr>
        <w:ind w:left="1891" w:hanging="284"/>
      </w:pPr>
      <w:rPr>
        <w:rFonts w:hint="default"/>
        <w:lang w:val="it-IT" w:eastAsia="en-US" w:bidi="ar-SA"/>
      </w:rPr>
    </w:lvl>
    <w:lvl w:ilvl="5" w:tplc="B0C4F60C">
      <w:numFmt w:val="bullet"/>
      <w:lvlText w:val="•"/>
      <w:lvlJc w:val="left"/>
      <w:pPr>
        <w:ind w:left="2258" w:hanging="284"/>
      </w:pPr>
      <w:rPr>
        <w:rFonts w:hint="default"/>
        <w:lang w:val="it-IT" w:eastAsia="en-US" w:bidi="ar-SA"/>
      </w:rPr>
    </w:lvl>
    <w:lvl w:ilvl="6" w:tplc="D9007966">
      <w:numFmt w:val="bullet"/>
      <w:lvlText w:val="•"/>
      <w:lvlJc w:val="left"/>
      <w:pPr>
        <w:ind w:left="2626" w:hanging="284"/>
      </w:pPr>
      <w:rPr>
        <w:rFonts w:hint="default"/>
        <w:lang w:val="it-IT" w:eastAsia="en-US" w:bidi="ar-SA"/>
      </w:rPr>
    </w:lvl>
    <w:lvl w:ilvl="7" w:tplc="D410E168">
      <w:numFmt w:val="bullet"/>
      <w:lvlText w:val="•"/>
      <w:lvlJc w:val="left"/>
      <w:pPr>
        <w:ind w:left="2994" w:hanging="284"/>
      </w:pPr>
      <w:rPr>
        <w:rFonts w:hint="default"/>
        <w:lang w:val="it-IT" w:eastAsia="en-US" w:bidi="ar-SA"/>
      </w:rPr>
    </w:lvl>
    <w:lvl w:ilvl="8" w:tplc="EE387EDE">
      <w:numFmt w:val="bullet"/>
      <w:lvlText w:val="•"/>
      <w:lvlJc w:val="left"/>
      <w:pPr>
        <w:ind w:left="3362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71E7755F"/>
    <w:multiLevelType w:val="multilevel"/>
    <w:tmpl w:val="2ECC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C65CB"/>
    <w:multiLevelType w:val="hybridMultilevel"/>
    <w:tmpl w:val="CA5A9C0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87728F"/>
    <w:multiLevelType w:val="multilevel"/>
    <w:tmpl w:val="3C66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16"/>
  </w:num>
  <w:num w:numId="8">
    <w:abstractNumId w:val="14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5"/>
  </w:num>
  <w:num w:numId="14">
    <w:abstractNumId w:val="11"/>
  </w:num>
  <w:num w:numId="15">
    <w:abstractNumId w:val="9"/>
  </w:num>
  <w:num w:numId="16">
    <w:abstractNumId w:val="7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A8"/>
    <w:rsid w:val="0001072F"/>
    <w:rsid w:val="0002008B"/>
    <w:rsid w:val="0003687D"/>
    <w:rsid w:val="00043122"/>
    <w:rsid w:val="00050CB7"/>
    <w:rsid w:val="000558A5"/>
    <w:rsid w:val="0008677B"/>
    <w:rsid w:val="000A0F89"/>
    <w:rsid w:val="000C03E8"/>
    <w:rsid w:val="000C0468"/>
    <w:rsid w:val="000C17CE"/>
    <w:rsid w:val="000D2D7A"/>
    <w:rsid w:val="000D5CFB"/>
    <w:rsid w:val="000E0193"/>
    <w:rsid w:val="000E2692"/>
    <w:rsid w:val="000F2093"/>
    <w:rsid w:val="00102A6D"/>
    <w:rsid w:val="00107CD4"/>
    <w:rsid w:val="00122012"/>
    <w:rsid w:val="00122D06"/>
    <w:rsid w:val="0013763A"/>
    <w:rsid w:val="00151358"/>
    <w:rsid w:val="00160CF2"/>
    <w:rsid w:val="00172A56"/>
    <w:rsid w:val="00176CD5"/>
    <w:rsid w:val="00191A44"/>
    <w:rsid w:val="001A1F02"/>
    <w:rsid w:val="001A2A67"/>
    <w:rsid w:val="001A62AE"/>
    <w:rsid w:val="001B70D2"/>
    <w:rsid w:val="001C569E"/>
    <w:rsid w:val="001C7745"/>
    <w:rsid w:val="001D27B4"/>
    <w:rsid w:val="001D4B6E"/>
    <w:rsid w:val="001E38B2"/>
    <w:rsid w:val="001F6921"/>
    <w:rsid w:val="00214B87"/>
    <w:rsid w:val="00227EF6"/>
    <w:rsid w:val="002329B0"/>
    <w:rsid w:val="002378C1"/>
    <w:rsid w:val="00240585"/>
    <w:rsid w:val="00240D80"/>
    <w:rsid w:val="002507B1"/>
    <w:rsid w:val="00250E32"/>
    <w:rsid w:val="00253F07"/>
    <w:rsid w:val="00267C9B"/>
    <w:rsid w:val="0027062F"/>
    <w:rsid w:val="00271D1D"/>
    <w:rsid w:val="002825DB"/>
    <w:rsid w:val="002973CA"/>
    <w:rsid w:val="002A0D89"/>
    <w:rsid w:val="002B25F8"/>
    <w:rsid w:val="002C4132"/>
    <w:rsid w:val="002C673C"/>
    <w:rsid w:val="002D6CA2"/>
    <w:rsid w:val="00301ABC"/>
    <w:rsid w:val="0030458F"/>
    <w:rsid w:val="00323336"/>
    <w:rsid w:val="0033039B"/>
    <w:rsid w:val="00333334"/>
    <w:rsid w:val="003526A2"/>
    <w:rsid w:val="00356865"/>
    <w:rsid w:val="00362B70"/>
    <w:rsid w:val="00371F0B"/>
    <w:rsid w:val="003815D8"/>
    <w:rsid w:val="003824BA"/>
    <w:rsid w:val="00390CF9"/>
    <w:rsid w:val="003A5917"/>
    <w:rsid w:val="003B7488"/>
    <w:rsid w:val="003D1A8A"/>
    <w:rsid w:val="003E7538"/>
    <w:rsid w:val="003E7F24"/>
    <w:rsid w:val="003F7C97"/>
    <w:rsid w:val="00403DDC"/>
    <w:rsid w:val="004440EA"/>
    <w:rsid w:val="00444E32"/>
    <w:rsid w:val="00452C1A"/>
    <w:rsid w:val="00454B0B"/>
    <w:rsid w:val="00456C87"/>
    <w:rsid w:val="00461F47"/>
    <w:rsid w:val="004640E0"/>
    <w:rsid w:val="00464E43"/>
    <w:rsid w:val="00476E78"/>
    <w:rsid w:val="004913D0"/>
    <w:rsid w:val="0049496F"/>
    <w:rsid w:val="004A6F7B"/>
    <w:rsid w:val="004B75F9"/>
    <w:rsid w:val="004D161E"/>
    <w:rsid w:val="004D2E10"/>
    <w:rsid w:val="004D5A45"/>
    <w:rsid w:val="004E4DFB"/>
    <w:rsid w:val="004E53A6"/>
    <w:rsid w:val="004F583F"/>
    <w:rsid w:val="004F7DF6"/>
    <w:rsid w:val="00503B9C"/>
    <w:rsid w:val="005210D7"/>
    <w:rsid w:val="00524539"/>
    <w:rsid w:val="00530E54"/>
    <w:rsid w:val="005354F4"/>
    <w:rsid w:val="00545A33"/>
    <w:rsid w:val="00551832"/>
    <w:rsid w:val="0055296A"/>
    <w:rsid w:val="00556A14"/>
    <w:rsid w:val="0056038A"/>
    <w:rsid w:val="00563D27"/>
    <w:rsid w:val="005668F5"/>
    <w:rsid w:val="00567296"/>
    <w:rsid w:val="005674D3"/>
    <w:rsid w:val="00571690"/>
    <w:rsid w:val="005A5CF4"/>
    <w:rsid w:val="005B127D"/>
    <w:rsid w:val="005B334A"/>
    <w:rsid w:val="005B7C9D"/>
    <w:rsid w:val="005D5D52"/>
    <w:rsid w:val="005E0D48"/>
    <w:rsid w:val="005E0D57"/>
    <w:rsid w:val="005F7A20"/>
    <w:rsid w:val="00601D43"/>
    <w:rsid w:val="00602733"/>
    <w:rsid w:val="006056BB"/>
    <w:rsid w:val="00617097"/>
    <w:rsid w:val="006227F4"/>
    <w:rsid w:val="00642D7C"/>
    <w:rsid w:val="006626A8"/>
    <w:rsid w:val="006627E9"/>
    <w:rsid w:val="00677EB3"/>
    <w:rsid w:val="006E1983"/>
    <w:rsid w:val="006E30B7"/>
    <w:rsid w:val="006E725A"/>
    <w:rsid w:val="006F0777"/>
    <w:rsid w:val="006F58BD"/>
    <w:rsid w:val="0072437A"/>
    <w:rsid w:val="00725926"/>
    <w:rsid w:val="00727520"/>
    <w:rsid w:val="00735456"/>
    <w:rsid w:val="007377EC"/>
    <w:rsid w:val="00737D34"/>
    <w:rsid w:val="0076062A"/>
    <w:rsid w:val="007607FA"/>
    <w:rsid w:val="00771386"/>
    <w:rsid w:val="00771D66"/>
    <w:rsid w:val="0077215D"/>
    <w:rsid w:val="00783617"/>
    <w:rsid w:val="00790AC2"/>
    <w:rsid w:val="007A7369"/>
    <w:rsid w:val="007E2178"/>
    <w:rsid w:val="007E7014"/>
    <w:rsid w:val="007F13D9"/>
    <w:rsid w:val="008035EC"/>
    <w:rsid w:val="0082486F"/>
    <w:rsid w:val="00830FD6"/>
    <w:rsid w:val="00835CDF"/>
    <w:rsid w:val="00843D42"/>
    <w:rsid w:val="0084648F"/>
    <w:rsid w:val="00852E7A"/>
    <w:rsid w:val="008722CC"/>
    <w:rsid w:val="008A227C"/>
    <w:rsid w:val="008A4856"/>
    <w:rsid w:val="008B48E9"/>
    <w:rsid w:val="008B74F4"/>
    <w:rsid w:val="008D1FBD"/>
    <w:rsid w:val="008D3917"/>
    <w:rsid w:val="008E4041"/>
    <w:rsid w:val="008F0CFB"/>
    <w:rsid w:val="008F74C2"/>
    <w:rsid w:val="0090080D"/>
    <w:rsid w:val="009044F1"/>
    <w:rsid w:val="00913FDD"/>
    <w:rsid w:val="00934B84"/>
    <w:rsid w:val="009353F3"/>
    <w:rsid w:val="009376EA"/>
    <w:rsid w:val="00944AEC"/>
    <w:rsid w:val="00956B63"/>
    <w:rsid w:val="00966487"/>
    <w:rsid w:val="00987251"/>
    <w:rsid w:val="009A1B9F"/>
    <w:rsid w:val="009A4664"/>
    <w:rsid w:val="009B5C3D"/>
    <w:rsid w:val="009B75E3"/>
    <w:rsid w:val="009C32D6"/>
    <w:rsid w:val="009D2D13"/>
    <w:rsid w:val="00A2339B"/>
    <w:rsid w:val="00A248D3"/>
    <w:rsid w:val="00A26735"/>
    <w:rsid w:val="00A31B32"/>
    <w:rsid w:val="00A325DE"/>
    <w:rsid w:val="00A45650"/>
    <w:rsid w:val="00A5053F"/>
    <w:rsid w:val="00A539BA"/>
    <w:rsid w:val="00A55F7D"/>
    <w:rsid w:val="00A56986"/>
    <w:rsid w:val="00A65F7E"/>
    <w:rsid w:val="00A679AC"/>
    <w:rsid w:val="00A73A90"/>
    <w:rsid w:val="00A77874"/>
    <w:rsid w:val="00A823D2"/>
    <w:rsid w:val="00A83B7B"/>
    <w:rsid w:val="00A86B46"/>
    <w:rsid w:val="00AC72A8"/>
    <w:rsid w:val="00AE08FD"/>
    <w:rsid w:val="00AF7A07"/>
    <w:rsid w:val="00B16C8A"/>
    <w:rsid w:val="00B20BE9"/>
    <w:rsid w:val="00B21331"/>
    <w:rsid w:val="00B25CDB"/>
    <w:rsid w:val="00B30241"/>
    <w:rsid w:val="00B5211E"/>
    <w:rsid w:val="00B52808"/>
    <w:rsid w:val="00B54146"/>
    <w:rsid w:val="00B81983"/>
    <w:rsid w:val="00B835E4"/>
    <w:rsid w:val="00B8370F"/>
    <w:rsid w:val="00B86F63"/>
    <w:rsid w:val="00B95DEB"/>
    <w:rsid w:val="00B9612B"/>
    <w:rsid w:val="00BA7A76"/>
    <w:rsid w:val="00BB266E"/>
    <w:rsid w:val="00BC33AD"/>
    <w:rsid w:val="00BC4F81"/>
    <w:rsid w:val="00BD2A0D"/>
    <w:rsid w:val="00BD4658"/>
    <w:rsid w:val="00BD51B5"/>
    <w:rsid w:val="00BE4A1C"/>
    <w:rsid w:val="00BE58F6"/>
    <w:rsid w:val="00BF32FF"/>
    <w:rsid w:val="00C2038A"/>
    <w:rsid w:val="00C40E04"/>
    <w:rsid w:val="00C45EE4"/>
    <w:rsid w:val="00C56DF6"/>
    <w:rsid w:val="00C62475"/>
    <w:rsid w:val="00C66804"/>
    <w:rsid w:val="00CA4BF6"/>
    <w:rsid w:val="00CC4702"/>
    <w:rsid w:val="00CC5D31"/>
    <w:rsid w:val="00CD6B53"/>
    <w:rsid w:val="00CE534C"/>
    <w:rsid w:val="00CE555F"/>
    <w:rsid w:val="00CE5D4E"/>
    <w:rsid w:val="00D05B1E"/>
    <w:rsid w:val="00D13890"/>
    <w:rsid w:val="00D32EBA"/>
    <w:rsid w:val="00D400FE"/>
    <w:rsid w:val="00D43E95"/>
    <w:rsid w:val="00D53132"/>
    <w:rsid w:val="00D620A5"/>
    <w:rsid w:val="00D7082D"/>
    <w:rsid w:val="00D86F8A"/>
    <w:rsid w:val="00D87197"/>
    <w:rsid w:val="00D95714"/>
    <w:rsid w:val="00DD32EA"/>
    <w:rsid w:val="00DD5374"/>
    <w:rsid w:val="00DE10F8"/>
    <w:rsid w:val="00DE7239"/>
    <w:rsid w:val="00DF521C"/>
    <w:rsid w:val="00E028FB"/>
    <w:rsid w:val="00E066F3"/>
    <w:rsid w:val="00E118A8"/>
    <w:rsid w:val="00E27B32"/>
    <w:rsid w:val="00E3477D"/>
    <w:rsid w:val="00E35962"/>
    <w:rsid w:val="00E421FA"/>
    <w:rsid w:val="00E45176"/>
    <w:rsid w:val="00E76C76"/>
    <w:rsid w:val="00E8509F"/>
    <w:rsid w:val="00E94660"/>
    <w:rsid w:val="00E94686"/>
    <w:rsid w:val="00E969BE"/>
    <w:rsid w:val="00E96C96"/>
    <w:rsid w:val="00EA0D27"/>
    <w:rsid w:val="00EA3C4D"/>
    <w:rsid w:val="00EA68F7"/>
    <w:rsid w:val="00EA7F98"/>
    <w:rsid w:val="00EB0975"/>
    <w:rsid w:val="00EB0D32"/>
    <w:rsid w:val="00EC27D8"/>
    <w:rsid w:val="00EE407C"/>
    <w:rsid w:val="00F41570"/>
    <w:rsid w:val="00F44C18"/>
    <w:rsid w:val="00F71FC0"/>
    <w:rsid w:val="00F92AC3"/>
    <w:rsid w:val="00F93BC7"/>
    <w:rsid w:val="00F96B3B"/>
    <w:rsid w:val="00FA0E09"/>
    <w:rsid w:val="00FA13AC"/>
    <w:rsid w:val="00FA1B50"/>
    <w:rsid w:val="00FA3DDB"/>
    <w:rsid w:val="00FA70D8"/>
    <w:rsid w:val="00FE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350CF"/>
  <w15:docId w15:val="{9F04A453-884A-4A81-9E08-5E6D2314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08FD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E555F"/>
    <w:pPr>
      <w:spacing w:before="120"/>
      <w:ind w:left="198" w:right="8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CE555F"/>
    <w:pPr>
      <w:spacing w:before="117"/>
      <w:ind w:left="198" w:right="22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8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E08FD"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AE08FD"/>
    <w:pPr>
      <w:spacing w:before="79"/>
      <w:ind w:left="3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rsid w:val="00AE08FD"/>
    <w:pPr>
      <w:spacing w:before="119"/>
      <w:ind w:left="423" w:hanging="283"/>
    </w:pPr>
  </w:style>
  <w:style w:type="paragraph" w:customStyle="1" w:styleId="TableParagraph">
    <w:name w:val="Table Paragraph"/>
    <w:basedOn w:val="Normale"/>
    <w:uiPriority w:val="1"/>
    <w:qFormat/>
    <w:rsid w:val="00AE08FD"/>
  </w:style>
  <w:style w:type="character" w:styleId="Collegamentoipertestuale">
    <w:name w:val="Hyperlink"/>
    <w:basedOn w:val="Carpredefinitoparagrafo"/>
    <w:uiPriority w:val="99"/>
    <w:unhideWhenUsed/>
    <w:rsid w:val="008D391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391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913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3D0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13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3D0"/>
    <w:rPr>
      <w:rFonts w:ascii="Verdana" w:eastAsia="Verdana" w:hAnsi="Verdana" w:cs="Verdana"/>
      <w:lang w:val="it-IT"/>
    </w:rPr>
  </w:style>
  <w:style w:type="paragraph" w:customStyle="1" w:styleId="PreamboloTit">
    <w:name w:val="PreamboloTit"/>
    <w:next w:val="Normale"/>
    <w:rsid w:val="00240D80"/>
    <w:pPr>
      <w:keepNext/>
      <w:widowControl/>
      <w:autoSpaceDE/>
      <w:autoSpaceDN/>
      <w:spacing w:before="120" w:after="120" w:line="360" w:lineRule="auto"/>
      <w:jc w:val="both"/>
    </w:pPr>
    <w:rPr>
      <w:rFonts w:ascii="Trebuchet MS" w:eastAsia="Times New Roman" w:hAnsi="Trebuchet MS" w:cs="Arial"/>
      <w:color w:val="993300"/>
      <w:sz w:val="20"/>
      <w:szCs w:val="24"/>
      <w:lang w:val="it-IT" w:eastAsia="it-IT"/>
    </w:rPr>
  </w:style>
  <w:style w:type="character" w:customStyle="1" w:styleId="hgkelc">
    <w:name w:val="hgkelc"/>
    <w:basedOn w:val="Carpredefinitoparagrafo"/>
    <w:rsid w:val="00F44C18"/>
  </w:style>
  <w:style w:type="character" w:customStyle="1" w:styleId="m5tqyf">
    <w:name w:val="m5tqyf"/>
    <w:basedOn w:val="Carpredefinitoparagrafo"/>
    <w:rsid w:val="00843D42"/>
  </w:style>
  <w:style w:type="character" w:customStyle="1" w:styleId="uv3um">
    <w:name w:val="uv3um"/>
    <w:basedOn w:val="Carpredefinitoparagrafo"/>
    <w:rsid w:val="00843D42"/>
  </w:style>
  <w:style w:type="paragraph" w:styleId="NormaleWeb">
    <w:name w:val="Normal (Web)"/>
    <w:basedOn w:val="Normale"/>
    <w:uiPriority w:val="99"/>
    <w:semiHidden/>
    <w:unhideWhenUsed/>
    <w:rsid w:val="00872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22CC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E30B7"/>
    <w:rPr>
      <w:rFonts w:ascii="Verdana" w:eastAsia="Verdana" w:hAnsi="Verdana" w:cs="Verdana"/>
      <w:sz w:val="36"/>
      <w:szCs w:val="3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D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D4E"/>
    <w:rPr>
      <w:rFonts w:ascii="Tahoma" w:eastAsia="Verdana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6A1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D1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555F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555F"/>
    <w:rPr>
      <w:rFonts w:ascii="Arial" w:eastAsia="Arial" w:hAnsi="Arial" w:cs="Arial"/>
      <w:b/>
      <w:bCs/>
      <w:lang w:val="it-IT"/>
    </w:rPr>
  </w:style>
  <w:style w:type="character" w:customStyle="1" w:styleId="CollegamentoInternet">
    <w:name w:val="Collegamento Internet"/>
    <w:basedOn w:val="Carpredefinitoparagrafo"/>
    <w:uiPriority w:val="99"/>
    <w:rsid w:val="00FA0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0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4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0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1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49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60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1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4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5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8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22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4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8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9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3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5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6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64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8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15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09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3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p@gpdp.it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ert.provincia.mediocampid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F3532-E27E-4E54-AE25-7FF510BA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Proposta rotazione ZTRC Serramanna.doc</vt:lpstr>
    </vt:vector>
  </TitlesOfParts>
  <Company>Provincia del Sud Sardegna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</dc:title>
  <dc:creator>Adele</dc:creator>
  <cp:lastModifiedBy>Adele Cau</cp:lastModifiedBy>
  <cp:revision>3</cp:revision>
  <cp:lastPrinted>2026-04-03T09:48:00Z</cp:lastPrinted>
  <dcterms:created xsi:type="dcterms:W3CDTF">2026-04-30T13:43:00Z</dcterms:created>
  <dcterms:modified xsi:type="dcterms:W3CDTF">2026-04-30T13:47:00Z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2025-05-30T00:00:00Z</vt:filetime>
  </property>
  <property fmtid="{D5CDD505-2E9C-101B-9397-08002B2CF9AE}" pid="5" name="Producer">
    <vt:lpwstr>GPL Ghostscript 10.04.0</vt:lpwstr>
  </property>
</Properties>
</file>